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Style w:val="Style12"/>
          <w:b/>
          <w:b/>
          <w:bCs/>
          <w:lang w:val="en-US"/>
        </w:rPr>
      </w:pPr>
      <w:hyperlink r:id="rId2">
        <w:r>
          <w:rPr/>
        </w:r>
      </w:hyperlink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250" w:after="250"/>
        <w:jc w:val="center"/>
        <w:outlineLvl w:val="0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Погасить ипотеку материнским капиталом теперь можно через банк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Подать заявление на распоряжение средствами материнского капитала в качестве уплаты первоначального взноса по кредиту (займу) или для погашения основного долга и уплаты процентов по кредиту (займу) на приобретение (строительство) жилья теперь можно в кредитной организации (банке) в процессе получения кредита.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Отделение ПФР по Волгоградской области заключило Соглашения  с ПАО «Сбербанк», ПАО «ВТБ»,  АО «Россельхозбанк», ПАО «Банк Уралсиб» по осуществлению информационного взаимодействия  для предоставления государственной  услуги по распоряжению средствами материнского (семейного) капитала. </w:t>
      </w:r>
    </w:p>
    <w:p>
      <w:pPr>
        <w:pStyle w:val="Normal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получили возможность одновременно  оформить кредит и подать заявление на  распоряжение средствами материнского (семейного) капитала. </w:t>
      </w:r>
      <w:r>
        <w:rPr>
          <w:sz w:val="28"/>
          <w:szCs w:val="28"/>
          <w:lang w:eastAsia="ru-RU"/>
        </w:rPr>
        <w:t xml:space="preserve">При этом обращаться  </w:t>
      </w:r>
      <w:r>
        <w:rPr>
          <w:sz w:val="28"/>
          <w:szCs w:val="28"/>
        </w:rPr>
        <w:t xml:space="preserve">в органы ПФР повторно не требуется. </w:t>
      </w:r>
    </w:p>
    <w:p>
      <w:pPr>
        <w:pStyle w:val="NormalWeb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соглашения планируется заключить и с другими банками, действующими на территории региона. </w:t>
      </w:r>
    </w:p>
    <w:p>
      <w:pPr>
        <w:pStyle w:val="NormalWeb"/>
        <w:spacing w:lineRule="auto" w:line="276"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Волгоградской области с 2007 года было выдано 159667 сертификатов на материнский капитал. Распорядиться средствами уже успели 130127 семей. Приоритетным направлением остается улучшение жилищных условий.  С этой целью материнский капитал использовали  113792 семьи.  Пенсионный фонд перечислил на улучшение жилищных условий более 44,4 млрд. рублей. </w:t>
      </w:r>
    </w:p>
    <w:p>
      <w:pPr>
        <w:pStyle w:val="Normal"/>
        <w:spacing w:before="0" w:after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40"/>
        <w:ind w:firstLine="709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2020-04-17T10:30:00Z</dcterms:created>
  <dc:creator>Банько</dc:creator>
  <dc:language>ru-RU</dc:language>
  <cp:lastPrinted>2020-04-17T11:29:00Z</cp:lastPrinted>
  <dcterms:modified xsi:type="dcterms:W3CDTF">2020-05-15T14:11:54Z</dcterms:modified>
  <cp:revision>16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