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numPr>
          <w:ilvl w:val="0"/>
          <w:numId w:val="0"/>
        </w:numPr>
        <w:ind w:left="1620" w:hanging="0"/>
        <w:outlineLvl w:val="0"/>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numPr>
          <w:ilvl w:val="0"/>
          <w:numId w:val="0"/>
        </w:numPr>
        <w:spacing w:lineRule="auto" w:line="360" w:beforeAutospacing="1" w:afterAutospacing="1"/>
        <w:jc w:val="center"/>
        <w:outlineLvl w:val="0"/>
        <w:rPr/>
      </w:pPr>
      <w:r>
        <w:rPr>
          <w:rFonts w:eastAsia="Times New Roman" w:cs="Times New Roman" w:ascii="Times New Roman" w:hAnsi="Times New Roman"/>
          <w:b/>
          <w:bCs/>
          <w:sz w:val="28"/>
          <w:szCs w:val="28"/>
          <w:lang w:eastAsia="ru-RU"/>
        </w:rPr>
        <w:t>Кто имеет право на государственную пенсию по потере кормильца</w:t>
      </w:r>
    </w:p>
    <w:p>
      <w:pPr>
        <w:pStyle w:val="Style19"/>
        <w:spacing w:lineRule="auto" w:line="276"/>
        <w:jc w:val="both"/>
        <w:rPr/>
      </w:pPr>
      <w:r>
        <w:rPr>
          <w:rStyle w:val="Style16"/>
        </w:rPr>
        <w:t>Нетрудоспособные члены семьи погибшего (умершего) военнослужащего:</w:t>
      </w:r>
    </w:p>
    <w:p>
      <w:pPr>
        <w:sectPr>
          <w:type w:val="nextPage"/>
          <w:pgSz w:w="11906" w:h="16838"/>
          <w:pgMar w:left="1701" w:right="850" w:header="0" w:top="1134" w:footer="0" w:bottom="1134" w:gutter="0"/>
          <w:pgNumType w:fmt="decimal"/>
          <w:formProt w:val="false"/>
          <w:textDirection w:val="lrTb"/>
          <w:docGrid w:type="default" w:linePitch="360" w:charSpace="4294965247"/>
        </w:sectPr>
      </w:pPr>
    </w:p>
    <w:p>
      <w:pPr>
        <w:pStyle w:val="Style19"/>
        <w:numPr>
          <w:ilvl w:val="0"/>
          <w:numId w:val="1"/>
        </w:numPr>
        <w:tabs>
          <w:tab w:val="left" w:pos="0" w:leader="none"/>
        </w:tabs>
        <w:ind w:left="707" w:hanging="283"/>
        <w:jc w:val="both"/>
        <w:rPr/>
      </w:pPr>
      <w:r>
        <w:rPr/>
        <w:t>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18 лет.   При этом братья, сестры и внуки признаются нетрудоспособными членами семьи при условии, что они не имеют трудоспособных родителей;</w:t>
      </w:r>
    </w:p>
    <w:p>
      <w:pPr>
        <w:pStyle w:val="Style19"/>
        <w:numPr>
          <w:ilvl w:val="0"/>
          <w:numId w:val="1"/>
        </w:numPr>
        <w:tabs>
          <w:tab w:val="left" w:pos="0" w:leader="none"/>
        </w:tabs>
        <w:ind w:left="707" w:hanging="283"/>
        <w:jc w:val="both"/>
        <w:rPr/>
      </w:pPr>
      <w:r>
        <w:rPr/>
        <w:t>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указанную пенсию по случаю потери кормильца, и не работает;</w:t>
      </w:r>
    </w:p>
    <w:p>
      <w:pPr>
        <w:pStyle w:val="Style19"/>
        <w:numPr>
          <w:ilvl w:val="0"/>
          <w:numId w:val="1"/>
        </w:numPr>
        <w:tabs>
          <w:tab w:val="left" w:pos="0" w:leader="none"/>
        </w:tabs>
        <w:ind w:left="707" w:hanging="283"/>
        <w:jc w:val="both"/>
        <w:rPr/>
      </w:pPr>
      <w:r>
        <w:rPr/>
        <w:t>Отец, мать и супруг погибшего (умершего) кормильца (за исключением родителей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60 и 55 лет (соответственно мужчины и женщины) либо являются инвалидами;</w:t>
      </w:r>
    </w:p>
    <w:p>
      <w:pPr>
        <w:pStyle w:val="Style19"/>
        <w:numPr>
          <w:ilvl w:val="0"/>
          <w:numId w:val="1"/>
        </w:numPr>
        <w:tabs>
          <w:tab w:val="left" w:pos="0" w:leader="none"/>
        </w:tabs>
        <w:ind w:left="707" w:hanging="283"/>
        <w:jc w:val="both"/>
        <w:rPr/>
      </w:pPr>
      <w:r>
        <w:rPr/>
        <w:t>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pPr>
        <w:pStyle w:val="Style19"/>
        <w:numPr>
          <w:ilvl w:val="0"/>
          <w:numId w:val="1"/>
        </w:numPr>
        <w:tabs>
          <w:tab w:val="left" w:pos="0" w:leader="none"/>
        </w:tabs>
        <w:ind w:left="707" w:hanging="283"/>
        <w:jc w:val="both"/>
        <w:rPr/>
      </w:pPr>
      <w:r>
        <w:rPr/>
        <w:t>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pPr>
        <w:pStyle w:val="Style19"/>
        <w:numPr>
          <w:ilvl w:val="0"/>
          <w:numId w:val="1"/>
        </w:numPr>
        <w:tabs>
          <w:tab w:val="left" w:pos="0" w:leader="none"/>
        </w:tabs>
        <w:spacing w:before="0" w:after="283"/>
        <w:ind w:left="707" w:hanging="283"/>
        <w:jc w:val="both"/>
        <w:rPr/>
      </w:pPr>
      <w:r>
        <w:rPr/>
        <w:t>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pPr>
        <w:pStyle w:val="Style19"/>
        <w:spacing w:before="0" w:after="283"/>
        <w:jc w:val="both"/>
        <w:rPr/>
      </w:pPr>
      <w:r>
        <w:rPr/>
        <w:t>Нетрудоспособным членам семьи пенсия назначается в том случае, если они находились на иждивении погибшего (умершего) кормильца, за исключением:</w:t>
      </w:r>
    </w:p>
    <w:p>
      <w:pPr>
        <w:pStyle w:val="Style19"/>
        <w:numPr>
          <w:ilvl w:val="0"/>
          <w:numId w:val="2"/>
        </w:numPr>
        <w:tabs>
          <w:tab w:val="left" w:pos="0" w:leader="none"/>
        </w:tabs>
        <w:ind w:left="707" w:hanging="283"/>
        <w:jc w:val="both"/>
        <w:rPr/>
      </w:pPr>
      <w:r>
        <w:rPr/>
        <w:t>детей, не достигших 18 лет;</w:t>
      </w:r>
    </w:p>
    <w:p>
      <w:pPr>
        <w:pStyle w:val="Style19"/>
        <w:numPr>
          <w:ilvl w:val="0"/>
          <w:numId w:val="2"/>
        </w:numPr>
        <w:tabs>
          <w:tab w:val="left" w:pos="0" w:leader="none"/>
        </w:tabs>
        <w:ind w:left="707" w:hanging="283"/>
        <w:jc w:val="both"/>
        <w:rPr/>
      </w:pPr>
      <w:r>
        <w:rPr/>
        <w:t>родителей и супругов, если они независимо от времени, прошедшего после его смерти, утратили источник средств к существованию;</w:t>
      </w:r>
    </w:p>
    <w:p>
      <w:pPr>
        <w:pStyle w:val="Style19"/>
        <w:numPr>
          <w:ilvl w:val="0"/>
          <w:numId w:val="2"/>
        </w:numPr>
        <w:tabs>
          <w:tab w:val="left" w:pos="0" w:leader="none"/>
        </w:tabs>
        <w:ind w:left="707" w:hanging="283"/>
        <w:jc w:val="both"/>
        <w:rPr/>
      </w:pPr>
      <w:r>
        <w:rPr/>
        <w:t>родителей военнослужащих, погибших (умерших) в период прохождения военной службы по призыву или умершие после увольнения с военной службы вследствие военной травмы;</w:t>
      </w:r>
    </w:p>
    <w:p>
      <w:pPr>
        <w:pStyle w:val="Style19"/>
        <w:numPr>
          <w:ilvl w:val="0"/>
          <w:numId w:val="2"/>
        </w:numPr>
        <w:tabs>
          <w:tab w:val="left" w:pos="0" w:leader="none"/>
        </w:tabs>
        <w:spacing w:before="0" w:after="283"/>
        <w:ind w:left="707" w:hanging="283"/>
        <w:jc w:val="both"/>
        <w:rPr/>
      </w:pPr>
      <w:r>
        <w:rPr/>
        <w:t>вдов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pPr>
        <w:pStyle w:val="Style19"/>
        <w:spacing w:before="0" w:after="283"/>
        <w:jc w:val="both"/>
        <w:rPr/>
      </w:pPr>
      <w:r>
        <w:rPr/>
        <w:t>Пенсии по случаю потери кормильца членам семей военнослужащих, проходивших военную службу по призыву выплачиваются в полном размере независимо от выполнения оплачиваемой работы.</w:t>
      </w:r>
    </w:p>
    <w:p>
      <w:pPr>
        <w:pStyle w:val="Style19"/>
        <w:spacing w:before="0" w:after="283"/>
        <w:jc w:val="both"/>
        <w:rPr/>
      </w:pPr>
      <w:r>
        <w:rPr/>
        <w:t>В случае гибели (смерти) кормильца вследствие совершения им преступления указанным нетрудоспособным членам семьи назначается социальная пенсия.</w:t>
      </w:r>
    </w:p>
    <w:p>
      <w:pPr>
        <w:pStyle w:val="Style19"/>
        <w:spacing w:before="0" w:after="283"/>
        <w:rPr/>
      </w:pPr>
      <w:r>
        <w:rPr>
          <w:rStyle w:val="Style16"/>
        </w:rPr>
        <w:t>Нетрудоспособные члены семьи граждан, пострадавших в результате катастрофы на Чернобыльской АЭС в соответсвии с пунктом 3 части 1 статьи 29 Закона РФ от 15 мая 1991 г. N 1244-1 «О социальной защите граждан, подвергшихся воздействию радиации вследствие катастрофы на Чернобыльской АЭС»:</w:t>
      </w:r>
    </w:p>
    <w:p>
      <w:pPr>
        <w:pStyle w:val="Style19"/>
        <w:numPr>
          <w:ilvl w:val="1"/>
          <w:numId w:val="3"/>
        </w:numPr>
        <w:tabs>
          <w:tab w:val="left" w:pos="0" w:leader="none"/>
        </w:tabs>
        <w:spacing w:before="0" w:after="283"/>
        <w:ind w:left="1414" w:hanging="283"/>
        <w:jc w:val="both"/>
        <w:rPr/>
      </w:pPr>
      <w:r>
        <w:rPr/>
        <w:t>Нетрудоспособные родители по достижению возраста 60 лет и 55 лет (мужчины и женщины соответственно)(Возраста,  предусмотренного пенсионным законодательством Российской Федерации, действовавшим по состоянию на 31.12.2018.), независимо от нахождения их на иждивении погибшего (умершего) кормильца;</w:t>
      </w:r>
    </w:p>
    <w:p>
      <w:pPr>
        <w:pStyle w:val="Style19"/>
        <w:numPr>
          <w:ilvl w:val="0"/>
          <w:numId w:val="4"/>
        </w:numPr>
        <w:tabs>
          <w:tab w:val="left" w:pos="0" w:leader="none"/>
        </w:tabs>
        <w:ind w:left="707" w:hanging="283"/>
        <w:jc w:val="both"/>
        <w:rPr/>
      </w:pPr>
      <w:r>
        <w:rP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pPr>
        <w:pStyle w:val="Style19"/>
        <w:numPr>
          <w:ilvl w:val="0"/>
          <w:numId w:val="4"/>
        </w:numPr>
        <w:tabs>
          <w:tab w:val="left" w:pos="0" w:leader="none"/>
        </w:tabs>
        <w:ind w:left="707" w:hanging="283"/>
        <w:jc w:val="both"/>
        <w:rPr/>
      </w:pPr>
      <w:r>
        <w:rPr/>
        <w:t>Супруг (жена, муж), если он занят уходом за детьми погибшего (умершего) кормильца, не достигшими 14 лет, независимо от того, работает супруг или нет;</w:t>
      </w:r>
    </w:p>
    <w:p>
      <w:pPr>
        <w:pStyle w:val="Style19"/>
        <w:numPr>
          <w:ilvl w:val="0"/>
          <w:numId w:val="4"/>
        </w:numPr>
        <w:tabs>
          <w:tab w:val="left" w:pos="0" w:leader="none"/>
        </w:tabs>
        <w:ind w:left="707" w:hanging="283"/>
        <w:jc w:val="both"/>
        <w:rPr/>
      </w:pPr>
      <w:r>
        <w:rPr/>
        <w:t>Супруг (жена, муж)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pPr>
        <w:pStyle w:val="Style19"/>
        <w:numPr>
          <w:ilvl w:val="0"/>
          <w:numId w:val="4"/>
        </w:numPr>
        <w:tabs>
          <w:tab w:val="left" w:pos="0" w:leader="none"/>
        </w:tabs>
        <w:spacing w:before="0" w:after="283"/>
        <w:ind w:left="707" w:hanging="283"/>
        <w:jc w:val="both"/>
        <w:rPr/>
      </w:pPr>
      <w:r>
        <w:rPr/>
        <w:t>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pPr>
        <w:pStyle w:val="Style19"/>
        <w:spacing w:before="0" w:after="283"/>
        <w:rPr/>
      </w:pPr>
      <w:r>
        <w:rPr>
          <w:rStyle w:val="Style16"/>
        </w:rPr>
        <w:t>Нетрудоспособные члены семьи погибших (умерших) граждан, пострадавших в результате других радиационных или техногенных катастроф (в соответствии с пунктом 2 статьи 10 Федерального закона от 28 декабря 2013 г. N 400-ФЗ «О страховых пенсиях»):</w:t>
      </w:r>
    </w:p>
    <w:p>
      <w:pPr>
        <w:pStyle w:val="Style19"/>
        <w:numPr>
          <w:ilvl w:val="0"/>
          <w:numId w:val="5"/>
        </w:numPr>
        <w:tabs>
          <w:tab w:val="left" w:pos="0" w:leader="none"/>
        </w:tabs>
        <w:spacing w:before="0" w:after="283"/>
        <w:ind w:left="707" w:hanging="283"/>
        <w:jc w:val="both"/>
        <w:rPr/>
      </w:pPr>
      <w:r>
        <w:rPr/>
        <w:t>Дети, братья, сестры и внуки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18 лет.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pPr>
        <w:pStyle w:val="Style19"/>
        <w:numPr>
          <w:ilvl w:val="0"/>
          <w:numId w:val="5"/>
        </w:numPr>
        <w:tabs>
          <w:tab w:val="left" w:pos="0" w:leader="none"/>
        </w:tabs>
        <w:ind w:left="707" w:hanging="283"/>
        <w:jc w:val="both"/>
        <w:rPr/>
      </w:pPr>
      <w:r>
        <w:rPr/>
        <w:t>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пунктом 1 настоящей части, и не работают;</w:t>
      </w:r>
    </w:p>
    <w:p>
      <w:pPr>
        <w:pStyle w:val="Style19"/>
        <w:numPr>
          <w:ilvl w:val="0"/>
          <w:numId w:val="5"/>
        </w:numPr>
        <w:tabs>
          <w:tab w:val="left" w:pos="0" w:leader="none"/>
        </w:tabs>
        <w:ind w:left="707" w:hanging="283"/>
        <w:jc w:val="both"/>
        <w:rPr/>
      </w:pPr>
      <w:r>
        <w:rPr/>
        <w:t>Родители и супруг умершего кормильца, если они достигли возраста 65 и 60 лет (соответственно мужчины и женщины) либо являются инвалидами;;</w:t>
      </w:r>
    </w:p>
    <w:p>
      <w:pPr>
        <w:pStyle w:val="Style19"/>
        <w:numPr>
          <w:ilvl w:val="0"/>
          <w:numId w:val="5"/>
        </w:numPr>
        <w:tabs>
          <w:tab w:val="left" w:pos="0" w:leader="none"/>
        </w:tabs>
        <w:spacing w:before="0" w:after="283"/>
        <w:ind w:left="707" w:hanging="283"/>
        <w:jc w:val="both"/>
        <w:rPr/>
      </w:pPr>
      <w:r>
        <w:rPr/>
        <w:t>Дедушка и бабушка умершего кормильца, если они достигли возраста 65 и 60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pPr>
        <w:pStyle w:val="Style19"/>
        <w:spacing w:before="0" w:after="283"/>
        <w:jc w:val="both"/>
        <w:rPr/>
      </w:pPr>
      <w:r>
        <w:rPr/>
      </w:r>
    </w:p>
    <w:p>
      <w:pPr>
        <w:pStyle w:val="Style19"/>
        <w:spacing w:before="0" w:after="283"/>
        <w:jc w:val="both"/>
        <w:rPr/>
      </w:pPr>
      <w:r>
        <w:rPr/>
        <w:t>Право на пенсии по случаю потери кормильца имеют нетрудоспособные члены семьи умершего (погибшего) гражданина, пострадавшего в результате радиационных или техногенных катастроф, состоявшие на его иждивении.</w:t>
      </w:r>
    </w:p>
    <w:p>
      <w:pPr>
        <w:pStyle w:val="Style19"/>
        <w:spacing w:before="0" w:after="283"/>
        <w:jc w:val="both"/>
        <w:rPr/>
      </w:pPr>
      <w:r>
        <w:rPr>
          <w:rStyle w:val="Style16"/>
        </w:rPr>
        <w:t>Члены семьи погибшего (умершего) космонавта, (в соответствии с пунктом 5 статьи 7.1. Федерального закона от 15.12.2001 № 166-ФЗ):</w:t>
      </w:r>
    </w:p>
    <w:p>
      <w:pPr>
        <w:pStyle w:val="Style19"/>
        <w:numPr>
          <w:ilvl w:val="0"/>
          <w:numId w:val="6"/>
        </w:numPr>
        <w:tabs>
          <w:tab w:val="left" w:pos="0" w:leader="none"/>
        </w:tabs>
        <w:spacing w:before="0" w:after="283"/>
        <w:ind w:left="707" w:hanging="283"/>
        <w:jc w:val="both"/>
        <w:rPr/>
      </w:pPr>
      <w:r>
        <w:rPr/>
        <w:t>Дети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w:t>
      </w:r>
    </w:p>
    <w:p>
      <w:pPr>
        <w:pStyle w:val="Style19"/>
        <w:numPr>
          <w:ilvl w:val="0"/>
          <w:numId w:val="6"/>
        </w:numPr>
        <w:tabs>
          <w:tab w:val="left" w:pos="0" w:leader="none"/>
        </w:tabs>
        <w:spacing w:before="0" w:after="283"/>
        <w:ind w:left="707" w:hanging="283"/>
        <w:jc w:val="both"/>
        <w:rPr/>
      </w:pPr>
      <w:r>
        <w:rPr/>
        <w:t>Супруг погибшего (умершего) кормильца независимо от возраста и трудоспособности;</w:t>
      </w:r>
    </w:p>
    <w:p>
      <w:pPr>
        <w:pStyle w:val="Style19"/>
        <w:numPr>
          <w:ilvl w:val="0"/>
          <w:numId w:val="6"/>
        </w:numPr>
        <w:tabs>
          <w:tab w:val="left" w:pos="0" w:leader="none"/>
        </w:tabs>
        <w:spacing w:before="0" w:after="283"/>
        <w:ind w:left="707" w:hanging="283"/>
        <w:jc w:val="both"/>
        <w:rPr/>
      </w:pPr>
      <w:r>
        <w:rPr/>
        <w:t>Родители погибшего (умершего) кормильца, достигшие возраста 65 и 60 лет соответственно мужчины и женщины *** либо являющиеся инвалидами, если они находились на иждивении погибшего (умершего) кормильца.</w:t>
      </w:r>
    </w:p>
    <w:p>
      <w:pPr>
        <w:pStyle w:val="Style19"/>
        <w:spacing w:before="0" w:after="283"/>
        <w:jc w:val="both"/>
        <w:rPr/>
      </w:pPr>
      <w:r>
        <w:rPr/>
        <w:t>*** с 2019 года возраст, по достижении которого возникает право на пенсию, увеличивается постепенно в зависимости от года, в котором гражданин достигает возраста 60 и 55 лет (соответственно мужчины и женщины), дававшего право на такую пенсию по законодательству по состоянию на 31 декабря 2018 года (</w:t>
      </w:r>
      <w:r>
        <w:rPr>
          <w:rStyle w:val="Style16"/>
        </w:rPr>
        <w:t>V):</w:t>
      </w:r>
    </w:p>
    <w:p>
      <w:pPr>
        <w:pStyle w:val="Style19"/>
        <w:spacing w:before="0" w:after="283"/>
        <w:ind w:left="710" w:right="0" w:hanging="0"/>
        <w:jc w:val="both"/>
        <w:rPr/>
      </w:pPr>
      <w:r>
        <w:rPr/>
        <w:t>законодательству по состоянию на 31 декабря 2018 года (</w:t>
      </w:r>
      <w:r>
        <w:rPr>
          <w:rStyle w:val="Style16"/>
        </w:rPr>
        <w:t>V):</w:t>
      </w:r>
    </w:p>
    <w:tbl>
      <w:tblPr>
        <w:tblW w:w="935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4754"/>
        <w:gridCol w:w="2306"/>
        <w:gridCol w:w="2295"/>
      </w:tblGrid>
      <w:tr>
        <w:trPr/>
        <w:tc>
          <w:tcPr>
            <w:tcW w:w="4754" w:type="dxa"/>
            <w:vMerge w:val="restart"/>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Style24"/>
              <w:jc w:val="center"/>
              <w:rPr/>
            </w:pPr>
            <w:r>
              <w:rPr>
                <w:rStyle w:val="Style16"/>
              </w:rPr>
              <w:t xml:space="preserve">Год, в котором гражданин приобретает право на пенсию по государственному пенсионному обеспечению по состоянию на </w:t>
            </w:r>
          </w:p>
          <w:p>
            <w:pPr>
              <w:pStyle w:val="Style24"/>
              <w:spacing w:before="0" w:after="200"/>
              <w:jc w:val="center"/>
              <w:rPr/>
            </w:pPr>
            <w:r>
              <w:rPr>
                <w:rStyle w:val="Style16"/>
              </w:rPr>
              <w:t>31 декабря 2018 года</w:t>
            </w:r>
          </w:p>
        </w:tc>
        <w:tc>
          <w:tcPr>
            <w:tcW w:w="4601" w:type="dxa"/>
            <w:gridSpan w:val="2"/>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4"/>
              <w:spacing w:before="0" w:after="200"/>
              <w:jc w:val="center"/>
              <w:rPr/>
            </w:pPr>
            <w:r>
              <w:rPr>
                <w:rStyle w:val="Style16"/>
              </w:rPr>
              <w:t>Возраст, по достижении которого возникает право на пенсию по государственному пенсионному обеспечению</w:t>
            </w:r>
          </w:p>
        </w:tc>
      </w:tr>
      <w:tr>
        <w:trPr/>
        <w:tc>
          <w:tcPr>
            <w:tcW w:w="4754" w:type="dxa"/>
            <w:vMerge w:val="continue"/>
            <w:tcBorders>
              <w:left w:val="single" w:sz="6" w:space="0" w:color="808080"/>
              <w:bottom w:val="single" w:sz="2" w:space="0" w:color="808080"/>
              <w:insideH w:val="single" w:sz="2" w:space="0" w:color="808080"/>
            </w:tcBorders>
            <w:shd w:fill="auto" w:val="clear"/>
            <w:tcMar>
              <w:left w:w="20" w:type="dxa"/>
            </w:tcMar>
            <w:vAlign w:val="center"/>
          </w:tcPr>
          <w:p>
            <w:pPr>
              <w:pStyle w:val="Style24"/>
              <w:spacing w:before="0" w:after="200"/>
              <w:rPr>
                <w:sz w:val="4"/>
                <w:szCs w:val="4"/>
              </w:rPr>
            </w:pPr>
            <w:r>
              <w:rPr>
                <w:sz w:val="4"/>
                <w:szCs w:val="4"/>
              </w:rPr>
            </w:r>
          </w:p>
        </w:tc>
        <w:tc>
          <w:tcPr>
            <w:tcW w:w="2306" w:type="dxa"/>
            <w:tcBorders>
              <w:left w:val="single" w:sz="2" w:space="0" w:color="808080"/>
              <w:bottom w:val="single" w:sz="2" w:space="0" w:color="808080"/>
              <w:insideH w:val="single" w:sz="2" w:space="0" w:color="808080"/>
            </w:tcBorders>
            <w:shd w:fill="auto" w:val="clear"/>
            <w:tcMar>
              <w:left w:w="27" w:type="dxa"/>
            </w:tcMar>
            <w:vAlign w:val="center"/>
          </w:tcPr>
          <w:p>
            <w:pPr>
              <w:pStyle w:val="Style24"/>
              <w:spacing w:before="0" w:after="200"/>
              <w:jc w:val="center"/>
              <w:rPr/>
            </w:pPr>
            <w:r>
              <w:rPr>
                <w:rStyle w:val="Style16"/>
              </w:rPr>
              <w:t>Мужчины</w:t>
            </w:r>
          </w:p>
        </w:tc>
        <w:tc>
          <w:tcPr>
            <w:tcW w:w="229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4"/>
              <w:spacing w:before="0" w:after="200"/>
              <w:jc w:val="center"/>
              <w:rPr/>
            </w:pPr>
            <w:r>
              <w:rPr>
                <w:rStyle w:val="Style16"/>
              </w:rPr>
              <w:t>Женщины</w:t>
            </w:r>
          </w:p>
        </w:tc>
      </w:tr>
      <w:tr>
        <w:trPr/>
        <w:tc>
          <w:tcPr>
            <w:tcW w:w="4754" w:type="dxa"/>
            <w:tcBorders>
              <w:left w:val="single" w:sz="6" w:space="0" w:color="808080"/>
              <w:bottom w:val="single" w:sz="2" w:space="0" w:color="808080"/>
              <w:insideH w:val="single" w:sz="2" w:space="0" w:color="808080"/>
            </w:tcBorders>
            <w:shd w:fill="auto" w:val="clear"/>
            <w:tcMar>
              <w:left w:w="20" w:type="dxa"/>
            </w:tcMar>
            <w:vAlign w:val="center"/>
          </w:tcPr>
          <w:p>
            <w:pPr>
              <w:pStyle w:val="Style24"/>
              <w:spacing w:before="0" w:after="200"/>
              <w:jc w:val="center"/>
              <w:rPr/>
            </w:pPr>
            <w:r>
              <w:rPr>
                <w:rStyle w:val="Style16"/>
              </w:rPr>
              <w:t>2019</w:t>
            </w:r>
          </w:p>
        </w:tc>
        <w:tc>
          <w:tcPr>
            <w:tcW w:w="2306" w:type="dxa"/>
            <w:tcBorders>
              <w:left w:val="single" w:sz="2" w:space="0" w:color="808080"/>
              <w:bottom w:val="single" w:sz="2" w:space="0" w:color="808080"/>
              <w:insideH w:val="single" w:sz="2" w:space="0" w:color="808080"/>
            </w:tcBorders>
            <w:shd w:fill="auto" w:val="clear"/>
            <w:tcMar>
              <w:left w:w="27" w:type="dxa"/>
            </w:tcMar>
            <w:vAlign w:val="center"/>
          </w:tcPr>
          <w:p>
            <w:pPr>
              <w:pStyle w:val="Style24"/>
              <w:spacing w:before="0" w:after="200"/>
              <w:jc w:val="center"/>
              <w:rPr/>
            </w:pPr>
            <w:r>
              <w:rPr>
                <w:rStyle w:val="Style16"/>
              </w:rPr>
              <w:t>V  + 12 месяцев</w:t>
            </w:r>
          </w:p>
        </w:tc>
        <w:tc>
          <w:tcPr>
            <w:tcW w:w="229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4"/>
              <w:spacing w:before="0" w:after="200"/>
              <w:jc w:val="center"/>
              <w:rPr/>
            </w:pPr>
            <w:r>
              <w:rPr>
                <w:rStyle w:val="Style16"/>
              </w:rPr>
              <w:t>V + 12 месяцев</w:t>
            </w:r>
          </w:p>
        </w:tc>
      </w:tr>
      <w:tr>
        <w:trPr/>
        <w:tc>
          <w:tcPr>
            <w:tcW w:w="4754" w:type="dxa"/>
            <w:tcBorders>
              <w:left w:val="single" w:sz="6" w:space="0" w:color="808080"/>
              <w:bottom w:val="single" w:sz="2" w:space="0" w:color="808080"/>
              <w:insideH w:val="single" w:sz="2" w:space="0" w:color="808080"/>
            </w:tcBorders>
            <w:shd w:fill="auto" w:val="clear"/>
            <w:tcMar>
              <w:left w:w="20" w:type="dxa"/>
            </w:tcMar>
            <w:vAlign w:val="center"/>
          </w:tcPr>
          <w:p>
            <w:pPr>
              <w:pStyle w:val="Style24"/>
              <w:spacing w:before="0" w:after="200"/>
              <w:jc w:val="center"/>
              <w:rPr/>
            </w:pPr>
            <w:r>
              <w:rPr>
                <w:rStyle w:val="Style16"/>
              </w:rPr>
              <w:t>2020</w:t>
            </w:r>
          </w:p>
        </w:tc>
        <w:tc>
          <w:tcPr>
            <w:tcW w:w="2306" w:type="dxa"/>
            <w:tcBorders>
              <w:left w:val="single" w:sz="2" w:space="0" w:color="808080"/>
              <w:bottom w:val="single" w:sz="2" w:space="0" w:color="808080"/>
              <w:insideH w:val="single" w:sz="2" w:space="0" w:color="808080"/>
            </w:tcBorders>
            <w:shd w:fill="auto" w:val="clear"/>
            <w:tcMar>
              <w:left w:w="27" w:type="dxa"/>
            </w:tcMar>
            <w:vAlign w:val="center"/>
          </w:tcPr>
          <w:p>
            <w:pPr>
              <w:pStyle w:val="Style24"/>
              <w:spacing w:before="0" w:after="200"/>
              <w:jc w:val="center"/>
              <w:rPr/>
            </w:pPr>
            <w:r>
              <w:rPr>
                <w:rStyle w:val="Style16"/>
              </w:rPr>
              <w:t>V + 24 месяца</w:t>
            </w:r>
          </w:p>
        </w:tc>
        <w:tc>
          <w:tcPr>
            <w:tcW w:w="229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4"/>
              <w:spacing w:before="0" w:after="200"/>
              <w:jc w:val="center"/>
              <w:rPr/>
            </w:pPr>
            <w:r>
              <w:rPr>
                <w:rStyle w:val="Style16"/>
              </w:rPr>
              <w:t>V + 24 месяца</w:t>
            </w:r>
          </w:p>
        </w:tc>
      </w:tr>
      <w:tr>
        <w:trPr/>
        <w:tc>
          <w:tcPr>
            <w:tcW w:w="4754" w:type="dxa"/>
            <w:tcBorders>
              <w:left w:val="single" w:sz="6" w:space="0" w:color="808080"/>
              <w:bottom w:val="single" w:sz="2" w:space="0" w:color="808080"/>
              <w:insideH w:val="single" w:sz="2" w:space="0" w:color="808080"/>
            </w:tcBorders>
            <w:shd w:fill="auto" w:val="clear"/>
            <w:tcMar>
              <w:left w:w="20" w:type="dxa"/>
            </w:tcMar>
            <w:vAlign w:val="center"/>
          </w:tcPr>
          <w:p>
            <w:pPr>
              <w:pStyle w:val="Style24"/>
              <w:spacing w:before="0" w:after="200"/>
              <w:jc w:val="center"/>
              <w:rPr/>
            </w:pPr>
            <w:r>
              <w:rPr>
                <w:rStyle w:val="Style16"/>
              </w:rPr>
              <w:t>2021</w:t>
            </w:r>
          </w:p>
        </w:tc>
        <w:tc>
          <w:tcPr>
            <w:tcW w:w="2306" w:type="dxa"/>
            <w:tcBorders>
              <w:left w:val="single" w:sz="2" w:space="0" w:color="808080"/>
              <w:bottom w:val="single" w:sz="2" w:space="0" w:color="808080"/>
              <w:insideH w:val="single" w:sz="2" w:space="0" w:color="808080"/>
            </w:tcBorders>
            <w:shd w:fill="auto" w:val="clear"/>
            <w:tcMar>
              <w:left w:w="27" w:type="dxa"/>
            </w:tcMar>
            <w:vAlign w:val="center"/>
          </w:tcPr>
          <w:p>
            <w:pPr>
              <w:pStyle w:val="Style24"/>
              <w:spacing w:before="0" w:after="200"/>
              <w:jc w:val="center"/>
              <w:rPr/>
            </w:pPr>
            <w:r>
              <w:rPr>
                <w:rStyle w:val="Style16"/>
              </w:rPr>
              <w:t>V + 36 месяцев</w:t>
            </w:r>
          </w:p>
        </w:tc>
        <w:tc>
          <w:tcPr>
            <w:tcW w:w="229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4"/>
              <w:spacing w:before="0" w:after="200"/>
              <w:jc w:val="center"/>
              <w:rPr/>
            </w:pPr>
            <w:r>
              <w:rPr>
                <w:rStyle w:val="Style16"/>
              </w:rPr>
              <w:t>V + 36 месяцев</w:t>
            </w:r>
          </w:p>
        </w:tc>
      </w:tr>
      <w:tr>
        <w:trPr/>
        <w:tc>
          <w:tcPr>
            <w:tcW w:w="4754" w:type="dxa"/>
            <w:tcBorders>
              <w:left w:val="single" w:sz="6" w:space="0" w:color="808080"/>
              <w:bottom w:val="single" w:sz="2" w:space="0" w:color="808080"/>
              <w:insideH w:val="single" w:sz="2" w:space="0" w:color="808080"/>
            </w:tcBorders>
            <w:shd w:fill="auto" w:val="clear"/>
            <w:tcMar>
              <w:left w:w="20" w:type="dxa"/>
            </w:tcMar>
            <w:vAlign w:val="center"/>
          </w:tcPr>
          <w:p>
            <w:pPr>
              <w:pStyle w:val="Style24"/>
              <w:spacing w:before="0" w:after="200"/>
              <w:jc w:val="center"/>
              <w:rPr/>
            </w:pPr>
            <w:r>
              <w:rPr>
                <w:rStyle w:val="Style16"/>
              </w:rPr>
              <w:t>2022</w:t>
            </w:r>
          </w:p>
        </w:tc>
        <w:tc>
          <w:tcPr>
            <w:tcW w:w="2306" w:type="dxa"/>
            <w:tcBorders>
              <w:left w:val="single" w:sz="2" w:space="0" w:color="808080"/>
              <w:bottom w:val="single" w:sz="2" w:space="0" w:color="808080"/>
              <w:insideH w:val="single" w:sz="2" w:space="0" w:color="808080"/>
            </w:tcBorders>
            <w:shd w:fill="auto" w:val="clear"/>
            <w:tcMar>
              <w:left w:w="27" w:type="dxa"/>
            </w:tcMar>
            <w:vAlign w:val="center"/>
          </w:tcPr>
          <w:p>
            <w:pPr>
              <w:pStyle w:val="Style24"/>
              <w:spacing w:before="0" w:after="200"/>
              <w:jc w:val="center"/>
              <w:rPr/>
            </w:pPr>
            <w:r>
              <w:rPr>
                <w:rStyle w:val="Style16"/>
              </w:rPr>
              <w:t>V + 48 месяцев</w:t>
            </w:r>
          </w:p>
        </w:tc>
        <w:tc>
          <w:tcPr>
            <w:tcW w:w="2295"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4"/>
              <w:spacing w:before="0" w:after="200"/>
              <w:jc w:val="center"/>
              <w:rPr/>
            </w:pPr>
            <w:r>
              <w:rPr>
                <w:rStyle w:val="Style16"/>
              </w:rPr>
              <w:t>V + 48 месяцев</w:t>
            </w:r>
          </w:p>
        </w:tc>
      </w:tr>
      <w:tr>
        <w:trPr/>
        <w:tc>
          <w:tcPr>
            <w:tcW w:w="4754" w:type="dxa"/>
            <w:tcBorders>
              <w:left w:val="single" w:sz="6" w:space="0" w:color="808080"/>
              <w:bottom w:val="single" w:sz="6" w:space="0" w:color="808080"/>
              <w:insideH w:val="single" w:sz="6" w:space="0" w:color="808080"/>
            </w:tcBorders>
            <w:shd w:fill="auto" w:val="clear"/>
            <w:tcMar>
              <w:left w:w="20" w:type="dxa"/>
            </w:tcMar>
            <w:vAlign w:val="center"/>
          </w:tcPr>
          <w:p>
            <w:pPr>
              <w:pStyle w:val="Style24"/>
              <w:spacing w:before="0" w:after="200"/>
              <w:jc w:val="center"/>
              <w:rPr/>
            </w:pPr>
            <w:r>
              <w:rPr>
                <w:rStyle w:val="Style16"/>
              </w:rPr>
              <w:t>2023 и последующие годы</w:t>
            </w:r>
          </w:p>
        </w:tc>
        <w:tc>
          <w:tcPr>
            <w:tcW w:w="2306" w:type="dxa"/>
            <w:tcBorders>
              <w:left w:val="single" w:sz="2" w:space="0" w:color="808080"/>
              <w:bottom w:val="single" w:sz="6" w:space="0" w:color="808080"/>
              <w:insideH w:val="single" w:sz="6" w:space="0" w:color="808080"/>
            </w:tcBorders>
            <w:shd w:fill="auto" w:val="clear"/>
            <w:tcMar>
              <w:left w:w="27" w:type="dxa"/>
            </w:tcMar>
            <w:vAlign w:val="center"/>
          </w:tcPr>
          <w:p>
            <w:pPr>
              <w:pStyle w:val="Style24"/>
              <w:spacing w:before="0" w:after="200"/>
              <w:jc w:val="center"/>
              <w:rPr/>
            </w:pPr>
            <w:r>
              <w:rPr>
                <w:rStyle w:val="Style16"/>
              </w:rPr>
              <w:t>V + 60 месяцев</w:t>
            </w:r>
          </w:p>
        </w:tc>
        <w:tc>
          <w:tcPr>
            <w:tcW w:w="2295"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Style24"/>
              <w:spacing w:before="0" w:after="200"/>
              <w:jc w:val="center"/>
              <w:rPr/>
            </w:pPr>
            <w:r>
              <w:rPr>
                <w:rStyle w:val="Style16"/>
              </w:rPr>
              <w:t>V + 60 месяцев</w:t>
            </w:r>
          </w:p>
        </w:tc>
      </w:tr>
    </w:tbl>
    <w:p>
      <w:pPr>
        <w:pStyle w:val="Style19"/>
        <w:spacing w:before="0" w:after="283"/>
        <w:jc w:val="both"/>
        <w:rPr/>
      </w:pPr>
      <w:r>
        <w:rPr/>
        <w:t> </w:t>
      </w:r>
    </w:p>
    <w:p>
      <w:pPr>
        <w:sectPr>
          <w:type w:val="continuous"/>
          <w:pgSz w:w="11906" w:h="16838"/>
          <w:pgMar w:left="1701" w:right="850" w:header="0" w:top="1134" w:footer="0" w:bottom="1134" w:gutter="0"/>
          <w:formProt w:val="false"/>
          <w:textDirection w:val="lrTb"/>
          <w:docGrid w:type="default" w:linePitch="360" w:charSpace="4294965247"/>
        </w:sectPr>
      </w:pPr>
    </w:p>
    <w:p>
      <w:pPr>
        <w:pStyle w:val="NormalWeb"/>
        <w:spacing w:lineRule="auto" w:line="276" w:before="280" w:after="280"/>
        <w:jc w:val="both"/>
        <w:rPr>
          <w:sz w:val="28"/>
          <w:szCs w:val="28"/>
        </w:rPr>
      </w:pPr>
      <w:r>
        <w:rPr/>
      </w:r>
    </w:p>
    <w:sectPr>
      <w:type w:val="continuous"/>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Wingdings" w:hAnsi="Wingdings" w:cs="Wingdings"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7"/>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4034"/>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155fa1"/>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55fa1"/>
    <w:rPr>
      <w:rFonts w:ascii="Times New Roman" w:hAnsi="Times New Roman" w:eastAsia="Times New Roman" w:cs="Times New Roman"/>
      <w:b/>
      <w:bCs/>
      <w:sz w:val="48"/>
      <w:szCs w:val="48"/>
      <w:lang w:eastAsia="ru-RU"/>
    </w:rPr>
  </w:style>
  <w:style w:type="character" w:styleId="Style13">
    <w:name w:val="Интернет-ссылка"/>
    <w:basedOn w:val="DefaultParagraphFont"/>
    <w:uiPriority w:val="99"/>
    <w:unhideWhenUsed/>
    <w:rsid w:val="00155fa1"/>
    <w:rPr>
      <w:color w:val="0000FF"/>
      <w:u w:val="single"/>
    </w:rPr>
  </w:style>
  <w:style w:type="character" w:styleId="Style14" w:customStyle="1">
    <w:name w:val="Основной текст Знак"/>
    <w:basedOn w:val="DefaultParagraphFont"/>
    <w:link w:val="a5"/>
    <w:qFormat/>
    <w:rsid w:val="00155fa1"/>
    <w:rPr>
      <w:rFonts w:ascii="Times New Roman" w:hAnsi="Times New Roman" w:eastAsia="Times New Roman" w:cs="Times New Roman"/>
      <w:b/>
      <w:sz w:val="28"/>
      <w:szCs w:val="24"/>
      <w:lang w:eastAsia="ar-SA"/>
    </w:rPr>
  </w:style>
  <w:style w:type="character" w:styleId="Style15" w:customStyle="1">
    <w:name w:val="Основной текст с отступом Знак"/>
    <w:basedOn w:val="DefaultParagraphFont"/>
    <w:link w:val="a7"/>
    <w:qFormat/>
    <w:rsid w:val="00155fa1"/>
    <w:rPr>
      <w:rFonts w:ascii="Times New Roman" w:hAnsi="Times New Roman" w:eastAsia="Times New Roman" w:cs="Times New Roman"/>
      <w:sz w:val="24"/>
      <w:szCs w:val="24"/>
      <w:lang w:eastAsia="ar-SA"/>
    </w:rPr>
  </w:style>
  <w:style w:type="character" w:styleId="Style16">
    <w:name w:val="Выделение жирным"/>
    <w:rPr>
      <w:b/>
      <w:bCs/>
    </w:rPr>
  </w:style>
  <w:style w:type="character" w:styleId="Style17">
    <w:name w:val="Маркеры списка"/>
    <w:qFormat/>
    <w:rPr>
      <w:rFonts w:ascii="OpenSymbol" w:hAnsi="OpenSymbol" w:eastAsia="OpenSymbol" w:cs="OpenSymbol"/>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link w:val="a6"/>
    <w:rsid w:val="00155fa1"/>
    <w:pPr>
      <w:suppressAutoHyphens w:val="true"/>
      <w:spacing w:lineRule="auto" w:line="240" w:before="0" w:after="0"/>
      <w:jc w:val="center"/>
    </w:pPr>
    <w:rPr>
      <w:rFonts w:ascii="Times New Roman" w:hAnsi="Times New Roman" w:eastAsia="Times New Roman" w:cs="Times New Roman"/>
      <w:b/>
      <w:sz w:val="28"/>
      <w:szCs w:val="24"/>
      <w:lang w:eastAsia="ar-SA"/>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rmalWeb">
    <w:name w:val="Normal (Web)"/>
    <w:basedOn w:val="Normal"/>
    <w:uiPriority w:val="99"/>
    <w:unhideWhenUsed/>
    <w:qFormat/>
    <w:rsid w:val="00155fa1"/>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Основной текст с отступом"/>
    <w:basedOn w:val="Normal"/>
    <w:link w:val="a8"/>
    <w:rsid w:val="00155fa1"/>
    <w:pPr>
      <w:suppressAutoHyphens w:val="true"/>
      <w:spacing w:lineRule="auto" w:line="240" w:before="0" w:after="0"/>
      <w:ind w:firstLine="709"/>
      <w:jc w:val="both"/>
    </w:pPr>
    <w:rPr>
      <w:rFonts w:ascii="Times New Roman" w:hAnsi="Times New Roman" w:eastAsia="Times New Roman" w:cs="Times New Roman"/>
      <w:sz w:val="24"/>
      <w:szCs w:val="24"/>
      <w:lang w:eastAsia="ar-SA"/>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LibreOffice/5.0.3.2$Windows_x86 LibreOffice_project/e5f16313668ac592c1bfb310f4390624e3dbfb75</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2020-09-29T05:53:00Z</dcterms:created>
  <dc:creator>044MatyushechkinaMS</dc:creator>
  <dc:language>ru-RU</dc:language>
  <dcterms:modified xsi:type="dcterms:W3CDTF">2020-10-07T15:13:04Z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