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3471" w14:textId="455CAABD" w:rsidR="00AC1432" w:rsidRPr="00D010BF" w:rsidRDefault="00457E79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D010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D010BF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D010B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6C24BA09" w14:textId="77777777" w:rsidR="004176E9" w:rsidRPr="00D010BF" w:rsidRDefault="004176E9" w:rsidP="00D010BF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AD9E057" w14:textId="77777777" w:rsidR="00D010BF" w:rsidRPr="00D010BF" w:rsidRDefault="00D010BF" w:rsidP="00D010BF">
      <w:pPr>
        <w:pStyle w:val="1"/>
        <w:spacing w:before="0" w:beforeAutospacing="0" w:after="0" w:afterAutospacing="0" w:line="300" w:lineRule="auto"/>
        <w:jc w:val="center"/>
        <w:rPr>
          <w:bCs w:val="0"/>
          <w:color w:val="000000" w:themeColor="text1"/>
          <w:sz w:val="28"/>
          <w:szCs w:val="28"/>
        </w:rPr>
      </w:pPr>
      <w:r w:rsidRPr="00D010BF">
        <w:rPr>
          <w:bCs w:val="0"/>
          <w:color w:val="000000" w:themeColor="text1"/>
          <w:sz w:val="28"/>
          <w:szCs w:val="28"/>
        </w:rPr>
        <w:t>Кадастровая палата по Волгоградской области рассказала о публичном сервитуте</w:t>
      </w:r>
    </w:p>
    <w:p w14:paraId="33801909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44D4749" w14:textId="77777777" w:rsidR="00D010BF" w:rsidRPr="00D010BF" w:rsidRDefault="00D010BF" w:rsidP="00D010BF">
      <w:pPr>
        <w:pStyle w:val="af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</w:rPr>
      </w:pPr>
      <w:r w:rsidRPr="00D010BF">
        <w:rPr>
          <w:b/>
          <w:bCs/>
          <w:sz w:val="28"/>
          <w:szCs w:val="28"/>
        </w:rPr>
        <w:t>На сегодняшний день в Едином государственном реестре недвижимости (ЕГРН) содержатся сведения о более тысяче публичных сервитутов расположенных на территории Волгоградской области. Определение границ и внесение сведений о публичном сервитуте в ЕГРН позволяет обеспечить интересы жителей области по размещению социально-значимых объектов инфраструктуры, необходимых для комфортного проживания.</w:t>
      </w:r>
    </w:p>
    <w:p w14:paraId="33B48D44" w14:textId="77777777" w:rsidR="00D010BF" w:rsidRPr="00D010BF" w:rsidRDefault="00D010BF" w:rsidP="00D010BF">
      <w:pPr>
        <w:pStyle w:val="af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 xml:space="preserve">В соответствии с Гражданским кодексом Российской Федерации сервитут это право ограниченного пользования недвижимостью, которое принадлежит собственнику соседней недвижимости. Следовательно, сервитут дает право ограниченного пользования недвижимым имуществом, которое остается во владении, пользовании и распоряжении собственника. </w:t>
      </w:r>
    </w:p>
    <w:p w14:paraId="309C4A10" w14:textId="77777777" w:rsidR="00D010BF" w:rsidRPr="00D010BF" w:rsidRDefault="00D010BF" w:rsidP="00D010BF">
      <w:pPr>
        <w:pStyle w:val="af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 xml:space="preserve">Публичный сервитут устанавливается в общественном интересе, а не в интересе конкретного лица. Данный вид сервитута может быть установлен исключительно решением исполнительного органа государственной власти или органа местного самоуправления в целях обеспечения государственных и муниципальных нужд, а также нужд населения без изъятия земельного участка. </w:t>
      </w:r>
    </w:p>
    <w:p w14:paraId="76D211EA" w14:textId="77777777" w:rsidR="00D010BF" w:rsidRPr="00D010BF" w:rsidRDefault="00D010BF" w:rsidP="00D010BF">
      <w:pPr>
        <w:pStyle w:val="af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>Перед установлением публичного сервитута проводятся общественные слушания, по результатам которых он и устанавливается. При этом решение органа местного самоуправления должно включать в себя срок действия сервитута (устанавливается на основании диапазонов сроков, определенных Земельным кодексом РФ, и в рамках срока резервирования земель для государственных или муниципальных нужд, если оно имело место), а также определение границ публичного сервитута.</w:t>
      </w:r>
    </w:p>
    <w:p w14:paraId="7406307F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Исчерпывающий перечень целей установления публичного сервитута содержит Земельный кодекс Российской Федерации: это может быть, как использование земельного участка для прохода к водному объекту, прогона сельскохозяйственных животных, забора водных ресурсов и водопоя, сенокошения, охоты,</w:t>
      </w:r>
      <w:r w:rsidRPr="00D0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0BF">
        <w:rPr>
          <w:rFonts w:ascii="Times New Roman" w:hAnsi="Times New Roman" w:cs="Times New Roman"/>
          <w:sz w:val="28"/>
          <w:szCs w:val="28"/>
        </w:rPr>
        <w:t>проведения дренажных работ,</w:t>
      </w:r>
      <w:r w:rsidRPr="00D0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0BF">
        <w:rPr>
          <w:rFonts w:ascii="Times New Roman" w:hAnsi="Times New Roman" w:cs="Times New Roman"/>
          <w:sz w:val="28"/>
          <w:szCs w:val="28"/>
        </w:rPr>
        <w:t>так и</w:t>
      </w:r>
      <w:r w:rsidRPr="00D0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0BF">
        <w:rPr>
          <w:rFonts w:ascii="Times New Roman" w:hAnsi="Times New Roman" w:cs="Times New Roman"/>
          <w:sz w:val="28"/>
          <w:szCs w:val="28"/>
        </w:rPr>
        <w:t xml:space="preserve">размещения межевых знаков, геодезических пунктов </w:t>
      </w:r>
      <w:r w:rsidRPr="00D010BF">
        <w:rPr>
          <w:rFonts w:ascii="Times New Roman" w:hAnsi="Times New Roman" w:cs="Times New Roman"/>
          <w:sz w:val="28"/>
          <w:szCs w:val="28"/>
        </w:rPr>
        <w:lastRenderedPageBreak/>
        <w:t>государственных геодезических сетей, гравиметрических пунктов, нивелирных пунктов и подъездов к ним и т.д.</w:t>
      </w:r>
    </w:p>
    <w:p w14:paraId="2C7F66F5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При установлении публичного сервитута акт органа исполнительной власти или местного самоуправления передается в орган регистрации прав с помощью системы межведомственного взаимодействия. Сведения об установленном публичном сервитуте вносятся только в реестр границ. Никакой иной регистрации со стороны собственника не требуется, также установление публичного сервитута не влечет внесения записи в ЕГРН об ограничении и обременении права. </w:t>
      </w:r>
    </w:p>
    <w:p w14:paraId="2E9D915B" w14:textId="77777777" w:rsidR="00D010BF" w:rsidRPr="00D010BF" w:rsidRDefault="00D010BF" w:rsidP="00D010BF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10BF">
        <w:rPr>
          <w:rFonts w:ascii="Times New Roman" w:eastAsia="Calibri" w:hAnsi="Times New Roman" w:cs="Times New Roman"/>
          <w:i/>
          <w:sz w:val="28"/>
          <w:szCs w:val="28"/>
        </w:rPr>
        <w:t xml:space="preserve">«Публичный сервитут устанавливается в тех случаях, когда обеспечение соблюдения интересов государства и населения невозможно другим способом. В частности, возможно установление публичного сервитута в интересах жителей определенного населенного пункта, а вот в интересах отдельно взятого лица он установлен не будет. </w:t>
      </w:r>
      <w:r w:rsidRPr="00D010BF">
        <w:rPr>
          <w:rFonts w:ascii="Times New Roman" w:hAnsi="Times New Roman" w:cs="Times New Roman"/>
          <w:i/>
          <w:sz w:val="28"/>
          <w:szCs w:val="28"/>
        </w:rPr>
        <w:t>Кроме того, публичный сервитут не лишит собственника прав владения, пользования и распоряжения своим участком, а лишь может создать неудобства по его использованию</w:t>
      </w:r>
      <w:r w:rsidRPr="00D010BF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Pr="00D01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отмечает </w:t>
      </w:r>
      <w:r w:rsidRPr="00D01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директор Кадастровой палаты по Волгоградской области Константин Миндигаяс</w:t>
      </w:r>
      <w:r w:rsidRPr="00D010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DDE2D6B" w14:textId="77777777" w:rsidR="00D010BF" w:rsidRPr="00D010BF" w:rsidRDefault="00D010BF" w:rsidP="00D010BF">
      <w:pPr>
        <w:pStyle w:val="af1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14:paraId="7F814825" w14:textId="77777777" w:rsidR="00D010BF" w:rsidRPr="00D010BF" w:rsidRDefault="00D010BF" w:rsidP="00D010BF">
      <w:pPr>
        <w:pStyle w:val="1"/>
        <w:spacing w:before="0" w:beforeAutospacing="0" w:after="0" w:afterAutospacing="0" w:line="300" w:lineRule="auto"/>
        <w:jc w:val="center"/>
        <w:rPr>
          <w:bCs w:val="0"/>
          <w:color w:val="000000" w:themeColor="text1"/>
          <w:sz w:val="28"/>
          <w:szCs w:val="28"/>
        </w:rPr>
      </w:pPr>
      <w:r w:rsidRPr="00D010BF">
        <w:rPr>
          <w:bCs w:val="0"/>
          <w:color w:val="000000" w:themeColor="text1"/>
          <w:sz w:val="28"/>
          <w:szCs w:val="28"/>
        </w:rPr>
        <w:t>Кадастровая палата проводит антикоррупционные мероприятия</w:t>
      </w:r>
    </w:p>
    <w:p w14:paraId="1DB9B166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D75691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Антикоррупционная работа Кадастровой палатой по Волгоградской области налажена в тесном сотрудничестве с Управлением кадрового обеспечения Федеральной кадастровой палаты. Мы получаем актуальную информацию из первоисточника, касаемо антикоррупционной политики.</w:t>
      </w:r>
    </w:p>
    <w:p w14:paraId="1B20E194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Кадастровая палата уделяет большое внимание правовому антикоррупционному просвещению работников. Благодаря чему осуществляется периодическое обучение работников в форме лекций, бесед, тематических семинаров и иных форм доведения до сведения работников актуальной информации антикоррупционной направленности. Разъяснения антикоррупционного законодательства проводятся по следующим темам: </w:t>
      </w:r>
    </w:p>
    <w:p w14:paraId="577AA9A1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- о соблюдении ограничений, запретов и обязанностей в целях противодействия коррупции; </w:t>
      </w:r>
    </w:p>
    <w:p w14:paraId="17CA6E8A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- об установлении наказания за получение и дачу взятки, посредничество во взяточничестве в виде штрафов, кратных сумме взятки;</w:t>
      </w:r>
    </w:p>
    <w:p w14:paraId="4BFF70EF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 - об увольнении в связи с утратой доверия;</w:t>
      </w:r>
    </w:p>
    <w:p w14:paraId="219C61A2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 - о порядке проверки сведений, представляемых работниками в соответствии с законодательством Российской Федерации о противодействии коррупции;</w:t>
      </w:r>
    </w:p>
    <w:p w14:paraId="075A5168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lastRenderedPageBreak/>
        <w:t xml:space="preserve"> - об ограничениях, касающихся получения подарков; </w:t>
      </w:r>
    </w:p>
    <w:p w14:paraId="2EF1B62F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- о недопущении поведения, которое может восприниматься окружающими как обещание или предложение дачи взятки, либо согласие принять взятку. </w:t>
      </w:r>
    </w:p>
    <w:p w14:paraId="09E6F3C8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На данный момент проведена организация работы по обязательному уведомлению работодателя или его представителя обо всех случаях обращения к ним каких-либо лиц в целях склонения их к совершению коррупционных правонарушений.</w:t>
      </w:r>
    </w:p>
    <w:p w14:paraId="7C22F6CD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работы в сфере противодействия коррупции являются снижение коррупционных рисков, личной заинтересованности и предотвращения конфликта интересов. </w:t>
      </w:r>
    </w:p>
    <w:p w14:paraId="64630AAF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Для урегулирования возможных конфликтов интересов в Кадастровой палатой по Волгоградской области действует постоянная комиссия, которая и рассматривает персонально каждый случай возможного проявления личной заинтересованности и возможного конфликта интересов.</w:t>
      </w:r>
    </w:p>
    <w:p w14:paraId="469DD149" w14:textId="77777777" w:rsidR="00D010BF" w:rsidRPr="00D010BF" w:rsidRDefault="00D010BF" w:rsidP="00D010B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С целью обеспечения защиты прав и законных интересов волгоградцы могут воспользоваться следующими каналами связи:</w:t>
      </w:r>
    </w:p>
    <w:p w14:paraId="2F72C512" w14:textId="77777777" w:rsidR="00D010BF" w:rsidRPr="00D010BF" w:rsidRDefault="00D010BF" w:rsidP="00D010B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- «телефоны доверия»: </w:t>
      </w:r>
      <w:hyperlink r:id="rId8" w:history="1">
        <w:r w:rsidRPr="00D010BF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8 800 100-18-18</w:t>
        </w:r>
      </w:hyperlink>
      <w:r w:rsidRPr="00D010BF">
        <w:rPr>
          <w:rFonts w:ascii="Times New Roman" w:hAnsi="Times New Roman" w:cs="Times New Roman"/>
          <w:sz w:val="28"/>
          <w:szCs w:val="28"/>
        </w:rPr>
        <w:t xml:space="preserve"> (единый телефон ведомства); </w:t>
      </w:r>
    </w:p>
    <w:p w14:paraId="60FF1E6D" w14:textId="77777777" w:rsidR="00D010BF" w:rsidRPr="00D010BF" w:rsidRDefault="00D010BF" w:rsidP="00D010B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010BF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8 (8442) 60-24-40 (доб. 2222)</w:t>
        </w:r>
      </w:hyperlink>
      <w:r w:rsidRPr="00D010BF">
        <w:rPr>
          <w:rFonts w:ascii="Times New Roman" w:hAnsi="Times New Roman" w:cs="Times New Roman"/>
          <w:sz w:val="28"/>
          <w:szCs w:val="28"/>
        </w:rPr>
        <w:t xml:space="preserve"> (Кадастровая палата по Волгоградской области);</w:t>
      </w:r>
    </w:p>
    <w:p w14:paraId="363F221A" w14:textId="77777777" w:rsidR="00D010BF" w:rsidRPr="00D010BF" w:rsidRDefault="00D010BF" w:rsidP="00D010B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- электронная почта: </w:t>
      </w:r>
      <w:hyperlink r:id="rId10" w:history="1">
        <w:r w:rsidRPr="00D010BF">
          <w:rPr>
            <w:rStyle w:val="ab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tgsuchkova@34.kadastr.ru</w:t>
        </w:r>
      </w:hyperlink>
      <w:r w:rsidRPr="00D010BF">
        <w:rPr>
          <w:rFonts w:ascii="Times New Roman" w:hAnsi="Times New Roman" w:cs="Times New Roman"/>
          <w:sz w:val="28"/>
          <w:szCs w:val="28"/>
        </w:rPr>
        <w:t>;</w:t>
      </w:r>
    </w:p>
    <w:p w14:paraId="2F0C0581" w14:textId="77777777" w:rsidR="00D010BF" w:rsidRPr="00D010BF" w:rsidRDefault="00D010BF" w:rsidP="00D010BF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 xml:space="preserve">- интернет – сайт: </w:t>
      </w:r>
      <w:r w:rsidRPr="00D010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010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10BF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D010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10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10BF">
        <w:rPr>
          <w:rFonts w:ascii="Times New Roman" w:hAnsi="Times New Roman" w:cs="Times New Roman"/>
          <w:sz w:val="28"/>
          <w:szCs w:val="28"/>
        </w:rPr>
        <w:t xml:space="preserve"> – в разделе «Обратная связь/Противодействие коррупции».</w:t>
      </w:r>
    </w:p>
    <w:p w14:paraId="7B3BF955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14:paraId="46D9190E" w14:textId="77777777" w:rsidR="00D010BF" w:rsidRPr="00D010BF" w:rsidRDefault="00D010BF" w:rsidP="00D010BF">
      <w:pPr>
        <w:pStyle w:val="1"/>
        <w:spacing w:before="0" w:beforeAutospacing="0" w:after="0" w:afterAutospacing="0" w:line="300" w:lineRule="auto"/>
        <w:jc w:val="center"/>
        <w:rPr>
          <w:bCs w:val="0"/>
          <w:color w:val="000000" w:themeColor="text1"/>
          <w:sz w:val="28"/>
          <w:szCs w:val="28"/>
        </w:rPr>
      </w:pPr>
      <w:r w:rsidRPr="00D010BF">
        <w:rPr>
          <w:bCs w:val="0"/>
          <w:color w:val="000000" w:themeColor="text1"/>
          <w:sz w:val="28"/>
          <w:szCs w:val="28"/>
        </w:rPr>
        <w:t>Кадастровая палата напомнила волгоградцам о последствиях нецелевого использования земель</w:t>
      </w:r>
    </w:p>
    <w:p w14:paraId="11A30C93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618C1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0BF">
        <w:rPr>
          <w:rFonts w:ascii="Times New Roman" w:hAnsi="Times New Roman" w:cs="Times New Roman"/>
          <w:b/>
          <w:sz w:val="28"/>
          <w:szCs w:val="28"/>
        </w:rPr>
        <w:t>Согласно Конституции Российской Федерации земля является основой жизнедеятельности народов, проживающих на соответствующих территориях. В современной правоприменительной практике самым часто совершаемым нарушением земельного законодательства является нецелевое использование земель. Эксперты Кадастровой палаты рассказали волгоградцам о целевом использовании земельного участка и мерах в отношении лиц, нарушивших правила целевого использования земельного участка.</w:t>
      </w:r>
    </w:p>
    <w:p w14:paraId="4B90642D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>В соответствии с Земельным кодексом Российской Федерации все земли разделяются на несколько категорий по их целевому назначению и их ценности. Целевое назначение земельного участка – это разделение земельных участков по </w:t>
      </w:r>
      <w:hyperlink r:id="rId11" w:tgtFrame="_blank" w:tooltip="http://www.consultant.ru/document/cons_doc_LAW_33773/368cb949273de5fecbcf2586fbf84ef05bd1a781/" w:history="1">
        <w:r w:rsidRPr="00D010BF">
          <w:rPr>
            <w:rStyle w:val="ab"/>
            <w:rFonts w:eastAsiaTheme="majorEastAsia"/>
            <w:color w:val="1D528F"/>
            <w:sz w:val="28"/>
            <w:szCs w:val="28"/>
          </w:rPr>
          <w:t>категориям</w:t>
        </w:r>
      </w:hyperlink>
      <w:r w:rsidRPr="00D010BF">
        <w:rPr>
          <w:sz w:val="28"/>
          <w:szCs w:val="28"/>
        </w:rPr>
        <w:t xml:space="preserve"> (например, земли сельскохозяйственного назначения, земли </w:t>
      </w:r>
      <w:r w:rsidRPr="00D010BF">
        <w:rPr>
          <w:sz w:val="28"/>
          <w:szCs w:val="28"/>
        </w:rPr>
        <w:lastRenderedPageBreak/>
        <w:t>населенных пунктов, земли особо охраняемых территорий и др.). Земельный кодекс Российской Федерации устанавливает требование о том, что земли могут использоваться только исходя из их целевого назначения и разрешения на их использование с учетом категории земельного участка. Виды разрешенного использования не привязаны к конкретным категориям земель, поэтому могут встречаться в одной и той же категории. Например, земли населенных пунктов могут иметь вид разрешенного использования «для индивидуального жилищного строительства». Также собственник земельного участка может выбрать самостоятельно один или несколько видов разрешенного </w:t>
      </w:r>
      <w:hyperlink r:id="rId12" w:tgtFrame="_blank" w:tooltip="http://www.consultant.ru/document/cons_doc_LAW_33773/368cb949273de5fecbcf2586fbf84ef05bd1a781/" w:history="1">
        <w:r w:rsidRPr="00D010BF">
          <w:rPr>
            <w:rStyle w:val="ab"/>
            <w:rFonts w:eastAsiaTheme="majorEastAsia"/>
            <w:color w:val="1D528F"/>
            <w:sz w:val="28"/>
            <w:szCs w:val="28"/>
          </w:rPr>
          <w:t>использования</w:t>
        </w:r>
      </w:hyperlink>
      <w:r w:rsidRPr="00D010BF">
        <w:rPr>
          <w:sz w:val="28"/>
          <w:szCs w:val="28"/>
        </w:rPr>
        <w:t> из числа предусмотренных зонированием территорий.</w:t>
      </w:r>
    </w:p>
    <w:p w14:paraId="7D5FF7CC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 xml:space="preserve">Если владелец использует свой земельный участок не по назначению, это является правонарушением. Нарушителями могут быть как граждане, так и юридические лица. Нецелевое использование земельных участков или их неиспользование по целевому назначению может быть вызвано решением землепользователей о нецелесообразности эксплуатации конкретных участков. Однако это не является причиной уклонения от административной ответственности за правонарушение. В данном случае возможен вариант изменения разрешенного использования земельных участков. </w:t>
      </w:r>
    </w:p>
    <w:p w14:paraId="65B24B10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 xml:space="preserve">Примером нецелевого использования земельного участка может быть ситуация, когда земельный участок имеет вид разрешенного использования «личное подсобное хозяйство», но на земельном участке собственник открыл магазин – это нарушение. Земли сельскохозяйственного назначения могут использоваться для ведения сельскохозяйственного производства, также при создании защитных лесных насаждений, выполнении научно-исследовательских и учебных целей, а также </w:t>
      </w:r>
      <w:proofErr w:type="spellStart"/>
      <w:r w:rsidRPr="00D010BF">
        <w:rPr>
          <w:sz w:val="28"/>
          <w:szCs w:val="28"/>
        </w:rPr>
        <w:t>аквакультуры</w:t>
      </w:r>
      <w:proofErr w:type="spellEnd"/>
      <w:r w:rsidRPr="00D010BF">
        <w:rPr>
          <w:sz w:val="28"/>
          <w:szCs w:val="28"/>
        </w:rPr>
        <w:t>. Грубейшими нарушениями в данном случае будут являться, например, самовольное строительство предприятий, различных объектов инфраструктуры, жилых зданий, организация стоянки или склада, завал мусором.</w:t>
      </w:r>
    </w:p>
    <w:p w14:paraId="03F68BB1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 xml:space="preserve">Факты нецелевого использования земельных участков выявляются в ходе проверок должностными лицами Управления </w:t>
      </w:r>
      <w:proofErr w:type="spellStart"/>
      <w:r w:rsidRPr="00D010BF">
        <w:rPr>
          <w:sz w:val="28"/>
          <w:szCs w:val="28"/>
        </w:rPr>
        <w:t>Росреестра</w:t>
      </w:r>
      <w:proofErr w:type="spellEnd"/>
      <w:r w:rsidRPr="00D010BF">
        <w:rPr>
          <w:sz w:val="28"/>
          <w:szCs w:val="28"/>
        </w:rPr>
        <w:t xml:space="preserve"> по Волгоградской области, а также при рассмотрении обращений заинтересованных лиц. </w:t>
      </w:r>
    </w:p>
    <w:p w14:paraId="2459C7D7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D010BF">
        <w:rPr>
          <w:sz w:val="28"/>
          <w:szCs w:val="28"/>
        </w:rPr>
        <w:t>При выявлении нарушений владельцу земельного участка дается полгода на их устранение. По истечении этого срока проводится повторная проверка. Если в ходе повторной проверки нарушения не устранены, то владельцу земельного участка грозит взыскание в виде </w:t>
      </w:r>
      <w:hyperlink r:id="rId13" w:tgtFrame="_blank" w:tooltip="http://www.consultant.ru/document/cons_doc_LAW_34661/d4131daeffceff28e2dda2eba7105f88abc9e7e9/" w:history="1">
        <w:r w:rsidRPr="00D010BF">
          <w:rPr>
            <w:rStyle w:val="ab"/>
            <w:rFonts w:eastAsiaTheme="majorEastAsia"/>
            <w:color w:val="1D528F"/>
            <w:sz w:val="28"/>
            <w:szCs w:val="28"/>
          </w:rPr>
          <w:t>штрафа</w:t>
        </w:r>
      </w:hyperlink>
      <w:r w:rsidRPr="00D010BF">
        <w:rPr>
          <w:sz w:val="28"/>
          <w:szCs w:val="28"/>
        </w:rPr>
        <w:t>, а в более серьезных случаях - прекращение права постоянного бессрочного пользования и даже </w:t>
      </w:r>
      <w:hyperlink r:id="rId14" w:tgtFrame="_blank" w:tooltip="http://www.consultant.ru/document/cons_doc_LAW_37816/2b2c4472c2ae9d05ef211d956c6810af49989f79/" w:history="1">
        <w:r w:rsidRPr="00D010BF">
          <w:rPr>
            <w:rStyle w:val="ab"/>
            <w:rFonts w:eastAsiaTheme="majorEastAsia"/>
            <w:color w:val="1D528F"/>
            <w:sz w:val="28"/>
            <w:szCs w:val="28"/>
          </w:rPr>
          <w:t>изъятие земельного участка</w:t>
        </w:r>
      </w:hyperlink>
      <w:r w:rsidRPr="00D010BF">
        <w:rPr>
          <w:sz w:val="28"/>
          <w:szCs w:val="28"/>
        </w:rPr>
        <w:t>.</w:t>
      </w:r>
    </w:p>
    <w:p w14:paraId="235441F9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i/>
          <w:sz w:val="28"/>
          <w:szCs w:val="28"/>
        </w:rPr>
      </w:pPr>
      <w:r w:rsidRPr="00D010BF">
        <w:rPr>
          <w:i/>
          <w:sz w:val="28"/>
          <w:szCs w:val="28"/>
        </w:rPr>
        <w:lastRenderedPageBreak/>
        <w:t>«Помимо ненадлежащего использования основанием для принудительного изъятия земельного участка, предназначенного для ведения сельского хозяйства либо жилищного или иного строительства, может также являться неиспользование земельного участка по заявленной цели </w:t>
      </w:r>
      <w:hyperlink r:id="rId15" w:tgtFrame="_blank" w:tooltip="http://www.consultant.ru/document/cons_doc_LAW_5142/f4bf6ab2a5e056db1deed5ea565335279b6c3be1/" w:history="1">
        <w:r w:rsidRPr="00D010BF">
          <w:rPr>
            <w:rStyle w:val="ab"/>
            <w:rFonts w:eastAsiaTheme="majorEastAsia"/>
            <w:color w:val="1D528F"/>
            <w:sz w:val="28"/>
            <w:szCs w:val="28"/>
          </w:rPr>
          <w:t>в течение трех лет</w:t>
        </w:r>
      </w:hyperlink>
      <w:r w:rsidRPr="00D010BF">
        <w:rPr>
          <w:i/>
          <w:sz w:val="28"/>
          <w:szCs w:val="28"/>
        </w:rPr>
        <w:t>. Земельный участок также поможет быть изъят у собственника, если пользование участком осуществляется с нарушением требований законодательства в том случае, когда использование земельного участка подразумевает под собой причинение вреда окружающей среде, а также приводит к ухудшению состояния почвы и дальнейшему снижению плодородия»</w:t>
      </w:r>
      <w:r w:rsidRPr="00D010BF">
        <w:rPr>
          <w:rFonts w:eastAsia="Calibri"/>
          <w:i/>
          <w:sz w:val="28"/>
          <w:szCs w:val="28"/>
        </w:rPr>
        <w:t>,</w:t>
      </w:r>
      <w:r w:rsidRPr="00D010BF">
        <w:rPr>
          <w:sz w:val="28"/>
          <w:szCs w:val="28"/>
          <w:shd w:val="clear" w:color="auto" w:fill="FFFFFF"/>
        </w:rPr>
        <w:t xml:space="preserve"> – отмечает </w:t>
      </w:r>
      <w:r w:rsidRPr="00D010BF">
        <w:rPr>
          <w:b/>
          <w:sz w:val="28"/>
          <w:szCs w:val="28"/>
          <w:shd w:val="clear" w:color="auto" w:fill="FFFFFF"/>
        </w:rPr>
        <w:t>директор Кадастровой палаты по Волгоградской области Константин Миндигаяс</w:t>
      </w:r>
      <w:r w:rsidRPr="00D010BF">
        <w:rPr>
          <w:sz w:val="28"/>
          <w:szCs w:val="28"/>
          <w:shd w:val="clear" w:color="auto" w:fill="FFFFFF"/>
        </w:rPr>
        <w:t>.</w:t>
      </w:r>
    </w:p>
    <w:p w14:paraId="7273B024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В случае если земельный участок находится в аренде, с арендатора, помимо возмещения вреда, причиненного нецелевым использованием, могут быть взысканы иные убытки, например, расходы собственника на снос (демонтаж) незаконно возведенных объектов, а также недополученная прибыль правообладателя земельного участка из-за невозможности его использования.</w:t>
      </w:r>
    </w:p>
    <w:p w14:paraId="5B39483E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55368" w14:textId="77777777" w:rsidR="00D010BF" w:rsidRPr="00D010BF" w:rsidRDefault="00D010BF" w:rsidP="00D010BF">
      <w:pPr>
        <w:pStyle w:val="1"/>
        <w:spacing w:before="0" w:beforeAutospacing="0" w:after="0" w:afterAutospacing="0" w:line="300" w:lineRule="auto"/>
        <w:jc w:val="center"/>
        <w:rPr>
          <w:bCs w:val="0"/>
          <w:color w:val="000000" w:themeColor="text1"/>
          <w:sz w:val="28"/>
          <w:szCs w:val="28"/>
        </w:rPr>
      </w:pPr>
      <w:r w:rsidRPr="00D010BF">
        <w:rPr>
          <w:bCs w:val="0"/>
          <w:color w:val="000000" w:themeColor="text1"/>
          <w:sz w:val="28"/>
          <w:szCs w:val="28"/>
        </w:rPr>
        <w:t>За 10 лет срок предоставления сведений из реестра недвижимости для волгоградцев сократился в 5 раз</w:t>
      </w:r>
    </w:p>
    <w:p w14:paraId="5EAD914C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AC0C9E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1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Средний фактический срок предоставления сведений из Единого государственного реестра недвижимости (ЕГРН) в 2021 году составил один день. Более 1,8 млн сведений было выдано Кадастровой палатой по Волгоградской области из реестра недвижимости с января по ноябрь 2021 года.</w:t>
      </w:r>
    </w:p>
    <w:p w14:paraId="3A6CD47A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10BF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в 2011 году срок предоставления сведений из государственного кадастра недвижимости в регионе составлял пять рабочих дней. Таким образом, за</w:t>
      </w:r>
      <w:r w:rsidRPr="00D0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последние 10 лет средний срок </w:t>
      </w:r>
      <w:r w:rsidRPr="00D010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исполнения запросов</w:t>
      </w:r>
      <w:r w:rsidRPr="00D0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сократился в 5 раз. Это стало возможным благодаря внедрению электронных сервисов и развитию межведомственного взаимодействия.</w:t>
      </w:r>
    </w:p>
    <w:p w14:paraId="7C20264E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0BF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сведения из ЕГРН можно несколькими способами: подав заявление через МФЦ, почтовым отправлением с объявленной ценностью при его пересылке, описью вложения и уведомлением о вручении, а также через Интернет с помощью специализированных электронных сервисов.</w:t>
      </w:r>
    </w:p>
    <w:p w14:paraId="786A844E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BF">
        <w:rPr>
          <w:rFonts w:ascii="Times New Roman" w:eastAsia="Calibri" w:hAnsi="Times New Roman" w:cs="Times New Roman"/>
          <w:bCs/>
          <w:sz w:val="28"/>
          <w:szCs w:val="28"/>
        </w:rPr>
        <w:t xml:space="preserve">На сегодняшний день, </w:t>
      </w:r>
      <w:r w:rsidRPr="00D010BF">
        <w:rPr>
          <w:rFonts w:ascii="Times New Roman" w:eastAsia="Calibri" w:hAnsi="Times New Roman" w:cs="Times New Roman"/>
          <w:sz w:val="28"/>
          <w:szCs w:val="28"/>
        </w:rPr>
        <w:t xml:space="preserve">получение выписки возможно за считанные минуты, не выходя из дома. </w:t>
      </w:r>
      <w:r w:rsidRPr="00D010BF">
        <w:rPr>
          <w:rFonts w:ascii="Times New Roman" w:hAnsi="Times New Roman" w:cs="Times New Roman"/>
          <w:sz w:val="28"/>
          <w:szCs w:val="28"/>
        </w:rPr>
        <w:t xml:space="preserve">Для этого можно воспользоваться </w:t>
      </w:r>
      <w:hyperlink r:id="rId16" w:history="1">
        <w:r w:rsidRPr="00D010BF">
          <w:rPr>
            <w:rStyle w:val="ab"/>
            <w:rFonts w:ascii="Times New Roman" w:hAnsi="Times New Roman" w:cs="Times New Roman"/>
            <w:sz w:val="28"/>
            <w:szCs w:val="28"/>
          </w:rPr>
          <w:t>онлайн-сервисом</w:t>
        </w:r>
      </w:hyperlink>
      <w:r w:rsidRPr="00D010B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палаты, </w:t>
      </w:r>
      <w:hyperlink r:id="rId17" w:history="1">
        <w:r w:rsidRPr="00D010BF">
          <w:rPr>
            <w:rStyle w:val="ab"/>
            <w:rFonts w:ascii="Times New Roman" w:hAnsi="Times New Roman" w:cs="Times New Roman"/>
            <w:sz w:val="28"/>
            <w:szCs w:val="28"/>
          </w:rPr>
          <w:t>порталом</w:t>
        </w:r>
      </w:hyperlink>
      <w:r w:rsidRPr="00D0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0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10B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D010BF">
          <w:rPr>
            <w:rStyle w:val="ab"/>
            <w:rFonts w:ascii="Times New Roman" w:hAnsi="Times New Roman" w:cs="Times New Roman"/>
            <w:sz w:val="28"/>
            <w:szCs w:val="28"/>
          </w:rPr>
          <w:t>Единым порталом государственных и муниципальных услуг</w:t>
        </w:r>
      </w:hyperlink>
      <w:r w:rsidRPr="00D010BF">
        <w:rPr>
          <w:rFonts w:ascii="Times New Roman" w:hAnsi="Times New Roman" w:cs="Times New Roman"/>
          <w:sz w:val="28"/>
          <w:szCs w:val="28"/>
        </w:rPr>
        <w:t>.</w:t>
      </w:r>
      <w:r w:rsidRPr="00D01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0BF">
        <w:rPr>
          <w:rFonts w:ascii="Times New Roman" w:eastAsia="Calibri" w:hAnsi="Times New Roman" w:cs="Times New Roman"/>
          <w:bCs/>
          <w:sz w:val="28"/>
          <w:szCs w:val="28"/>
        </w:rPr>
        <w:t xml:space="preserve">При этом, воспользовавшись электронными сервисами, </w:t>
      </w:r>
      <w:r w:rsidRPr="00D010B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экономится не только время, но и деньги </w:t>
      </w:r>
      <w:r w:rsidRPr="00D010BF">
        <w:rPr>
          <w:rFonts w:ascii="Times New Roman" w:hAnsi="Times New Roman" w:cs="Times New Roman"/>
          <w:iCs/>
          <w:color w:val="334059"/>
          <w:sz w:val="28"/>
          <w:szCs w:val="28"/>
        </w:rPr>
        <w:t>–</w:t>
      </w:r>
      <w:r w:rsidRPr="00D010BF">
        <w:rPr>
          <w:rFonts w:ascii="Times New Roman" w:eastAsia="Calibri" w:hAnsi="Times New Roman" w:cs="Times New Roman"/>
          <w:bCs/>
          <w:sz w:val="28"/>
          <w:szCs w:val="28"/>
        </w:rPr>
        <w:t xml:space="preserve"> так заказ </w:t>
      </w:r>
      <w:r w:rsidRPr="00D0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выписки в электронном виде </w:t>
      </w:r>
      <w:r w:rsidRPr="00D010BF">
        <w:rPr>
          <w:rFonts w:ascii="Times New Roman" w:hAnsi="Times New Roman" w:cs="Times New Roman"/>
          <w:sz w:val="28"/>
          <w:szCs w:val="28"/>
          <w:shd w:val="clear" w:color="auto" w:fill="FFFFFF"/>
        </w:rPr>
        <w:t>обойдется дешевле аналога на бумажном носителе более чем на 30%.</w:t>
      </w:r>
    </w:p>
    <w:p w14:paraId="29629BD9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Федеральный закон № 218 от 13.07.2015 года «О государственной регистрации недвижимости» предусматривает возможность получения общедоступной информации об объектах недвижимости для любого участника сделки с недвижимостью. То есть заказать общедоступную информацию в электронном виде могут и физические, и юридические лица, а также органы исполнительной власти и местного самоуправления. Выписки имеют равную юридическую силу независимо от того, в бумажной или электронной форме предоставлена информация.</w:t>
      </w:r>
    </w:p>
    <w:p w14:paraId="4701A2E2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</w:rPr>
      </w:pPr>
      <w:r w:rsidRPr="00D010BF">
        <w:rPr>
          <w:i/>
          <w:sz w:val="28"/>
          <w:szCs w:val="28"/>
        </w:rPr>
        <w:t>«В настоящее время именно выписка из ЕГРН отражает объективную и достоверную информацию о недвижимости, подтверждает право собственности на объект недвижимости. Сведения, предоставленные в выписке могут быть использованы в различных жизненных ситуациях: подтверждение права собственности при проведении сделок с недвижимостью, определение налоговых обязательств владельца недвижимости, открытие наследства, оспаривание сделок в судебном порядке, использование объекта в качестве залога, подготовка процедуры дарения или оформление завещания»</w:t>
      </w:r>
      <w:r w:rsidRPr="00D010BF">
        <w:rPr>
          <w:sz w:val="28"/>
          <w:szCs w:val="28"/>
        </w:rPr>
        <w:t>, – отмечает</w:t>
      </w:r>
      <w:r w:rsidRPr="00D010BF">
        <w:rPr>
          <w:b/>
          <w:bCs/>
          <w:sz w:val="28"/>
          <w:szCs w:val="28"/>
        </w:rPr>
        <w:t xml:space="preserve"> директор Кадастровой палаты по Волгоградской области Константин Миндигаяс.</w:t>
      </w:r>
    </w:p>
    <w:p w14:paraId="18BC859D" w14:textId="6187DA7D" w:rsidR="00A11674" w:rsidRDefault="00A11674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10268" w14:textId="77777777" w:rsidR="00001D1D" w:rsidRDefault="00001D1D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E08C5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10333E6B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14:paraId="18EE41FA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765C2A7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65E9484C" w14:textId="77777777" w:rsidR="00001D1D" w:rsidRPr="00001D1D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01D1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Tel: 8 (8442) 60-24-40 (2307)</w:t>
      </w:r>
    </w:p>
    <w:p w14:paraId="41877E53" w14:textId="77777777" w:rsidR="00001D1D" w:rsidRPr="00001D1D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01D1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e-mail: ekz_34@mail.ru</w:t>
      </w:r>
    </w:p>
    <w:p w14:paraId="06061384" w14:textId="77777777" w:rsidR="00001D1D" w:rsidRPr="00B40A49" w:rsidRDefault="00001D1D" w:rsidP="00001D1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9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B40A49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20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p w14:paraId="7AC60580" w14:textId="77777777" w:rsidR="00001D1D" w:rsidRPr="00D010BF" w:rsidRDefault="00001D1D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D1D" w:rsidRPr="00D010BF" w:rsidSect="008E60E7"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18FA9" w14:textId="77777777" w:rsidR="0073554E" w:rsidRDefault="0073554E" w:rsidP="008D0144">
      <w:pPr>
        <w:spacing w:after="0" w:line="240" w:lineRule="auto"/>
      </w:pPr>
      <w:r>
        <w:separator/>
      </w:r>
    </w:p>
  </w:endnote>
  <w:endnote w:type="continuationSeparator" w:id="0">
    <w:p w14:paraId="06B7AC92" w14:textId="77777777" w:rsidR="0073554E" w:rsidRDefault="0073554E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8C0F9" w14:textId="77777777" w:rsidR="0073554E" w:rsidRDefault="0073554E" w:rsidP="008D0144">
      <w:pPr>
        <w:spacing w:after="0" w:line="240" w:lineRule="auto"/>
      </w:pPr>
      <w:r>
        <w:separator/>
      </w:r>
    </w:p>
  </w:footnote>
  <w:footnote w:type="continuationSeparator" w:id="0">
    <w:p w14:paraId="78850CCD" w14:textId="77777777" w:rsidR="0073554E" w:rsidRDefault="0073554E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489B"/>
    <w:rsid w:val="0010648F"/>
    <w:rsid w:val="001234D1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55868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B5673"/>
    <w:rsid w:val="007C5022"/>
    <w:rsid w:val="007E39D5"/>
    <w:rsid w:val="00807E7D"/>
    <w:rsid w:val="008442F7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B021A"/>
    <w:rsid w:val="00CC7787"/>
    <w:rsid w:val="00D010BF"/>
    <w:rsid w:val="00D06E21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1001818" TargetMode="External"/><Relationship Id="rId13" Type="http://schemas.openxmlformats.org/officeDocument/2006/relationships/hyperlink" Target="https://vk.com/away.php?to=http%3A%2F%2Fwww.consultant.ru%2Fdocument%2Fcons_doc_LAW_34661%2Fd4131daeffceff28e2dda2eba7105f88abc9e7e9%2F&amp;cc_key=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vk.com/away.php?to=http%3A%2F%2Fwww.consultant.ru%2Fdocument%2Fcons_doc_LAW_33773%2F368cb949273de5fecbcf2586fbf84ef05bd1a781%2F&amp;cc_key=" TargetMode="External"/><Relationship Id="rId1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v.kadastr.ru/" TargetMode="External"/><Relationship Id="rId20" Type="http://schemas.openxmlformats.org/officeDocument/2006/relationships/hyperlink" Target="https://www.instagram.com/34_kadast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www.consultant.ru%2Fdocument%2Fcons_doc_LAW_33773%2F368cb949273de5fecbcf2586fbf84ef05bd1a781%2F&amp;cc_key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%3A%2F%2Fwww.consultant.ru%2Fdocument%2Fcons_doc_LAW_5142%2Ff4bf6ab2a5e056db1deed5ea565335279b6c3be1%2F&amp;cc_key=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gsuchkova@34.kadastr.ru" TargetMode="External"/><Relationship Id="rId19" Type="http://schemas.openxmlformats.org/officeDocument/2006/relationships/hyperlink" Target="https://vk.com/34kada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%20(8442)%2060-24-40%20(%D0%B4%D0%BE%D0%B1.%202222)" TargetMode="External"/><Relationship Id="rId14" Type="http://schemas.openxmlformats.org/officeDocument/2006/relationships/hyperlink" Target="https://vk.com/away.php?to=http%3A%2F%2Fwww.consultant.ru%2Fdocument%2Fcons_doc_LAW_37816%2F2b2c4472c2ae9d05ef211d956c6810af49989f79%2F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Золотарева Елена Константиновна</cp:lastModifiedBy>
  <cp:revision>23</cp:revision>
  <cp:lastPrinted>2021-11-23T11:21:00Z</cp:lastPrinted>
  <dcterms:created xsi:type="dcterms:W3CDTF">2021-10-26T12:57:00Z</dcterms:created>
  <dcterms:modified xsi:type="dcterms:W3CDTF">2022-01-10T10:57:00Z</dcterms:modified>
</cp:coreProperties>
</file>