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bCs/>
        </w:rPr>
      </w:pPr>
      <w:bookmarkStart w:id="0" w:name="__DdeLink__26_507637005"/>
      <w:r>
        <w:rPr>
          <w:rFonts w:cs="Times New Roman" w:ascii="Times New Roman" w:hAnsi="Times New Roman"/>
          <w:b/>
          <w:bCs/>
          <w:sz w:val="24"/>
          <w:szCs w:val="24"/>
        </w:rPr>
        <w:t>И</w:t>
      </w:r>
      <w:r>
        <w:rPr>
          <w:rFonts w:cs="Times New Roman" w:ascii="Times New Roman" w:hAnsi="Times New Roman"/>
          <w:b/>
          <w:bCs/>
          <w:sz w:val="24"/>
          <w:szCs w:val="24"/>
        </w:rPr>
        <w:t>муществ</w:t>
      </w:r>
      <w:r>
        <w:rPr>
          <w:rFonts w:cs="Times New Roman" w:ascii="Times New Roman" w:hAnsi="Times New Roman"/>
          <w:b/>
          <w:bCs/>
          <w:sz w:val="24"/>
          <w:szCs w:val="24"/>
        </w:rPr>
        <w:t>о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семьи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не учитываемое в оценке нуждаемости </w:t>
      </w:r>
      <w:r>
        <w:rPr>
          <w:rFonts w:cs="Times New Roman" w:ascii="Times New Roman" w:hAnsi="Times New Roman"/>
          <w:b/>
          <w:bCs/>
          <w:sz w:val="24"/>
          <w:szCs w:val="24"/>
        </w:rPr>
        <w:t>для получения пособи</w:t>
      </w:r>
      <w:r>
        <w:rPr>
          <w:rFonts w:cs="Times New Roman" w:ascii="Times New Roman" w:hAnsi="Times New Roman"/>
          <w:b/>
          <w:bCs/>
          <w:sz w:val="24"/>
          <w:szCs w:val="24"/>
        </w:rPr>
        <w:t>я</w:t>
      </w:r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помещения, которые были признаны непригодными для проживания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жилье, занимаемое заявителем или членом его семьи, страдающим тяжелой формой хронического заболевания, при котором невозможно совместное проживание в одном помещении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доли, составляющие 1/3 и менее от общей площади на всех членов семьи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земельные участки, предоставленные в качестве меры социальной поддержки многодетным семьям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жилье, транспорт и земельные участки, приобретенные на средства целевой государственной поддержки (за исключением прицепов и полуприцепов)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земельные участки, находящиеся в долевой собственности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Дальневосточный гектар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земельные участки в Арктической зоне и на других территориях Севера, Сибири и Дальнего Востока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имущество, являющееся общим имуществом в многоквартирном доме (подвалы)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имущество общего поль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зования садоводческого или огороднического некоммерческого товарищества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самоходные транспортные средства старше 5 лет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маломерные суда старше 5 лет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недвижимость и транспорт под арестом или в розыске</w:t>
      </w:r>
    </w:p>
    <w:p>
      <w:pPr>
        <w:pStyle w:val="Normal"/>
        <w:spacing w:lineRule="auto" w:line="360" w:before="0" w:after="20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аким образом, семья имеет право на выплату при одновременном владении квартирой, домом, дачей, земельным участком, гаражом, автомобилем, мотоциклом, лодкой идр. При этом размер квартиры или дома не имеет значение, если у семьи по одному объекту такого имущества. Площадь жилья учитывается, только если квартир или домов несколько.</w:t>
      </w:r>
    </w:p>
    <w:sectPr>
      <w:type w:val="nextPage"/>
      <w:pgSz w:w="11906" w:h="16838"/>
      <w:pgMar w:left="1701" w:right="850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65f2c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565f2c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565f2c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565f2c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uiPriority w:val="99"/>
    <w:semiHidden/>
    <w:unhideWhenUsed/>
    <w:rsid w:val="00565f2c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LibreOffice/5.0.3.2$Windows_x86 LibreOffice_project/e5f16313668ac592c1bfb310f4390624e3dbfb75</Application>
  <Paragraphs>16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2022-10-21T05:35:00Z</dcterms:created>
  <dc:creator>044ZeninaEV</dc:creator>
  <dc:language>ru-RU</dc:language>
  <dcterms:modified xsi:type="dcterms:W3CDTF">2022-11-08T14:55:03Z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